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F3B" w:rsidRPr="002E70FB" w:rsidRDefault="00301F3B">
      <w:pPr>
        <w:rPr>
          <w:rFonts w:ascii="Arial" w:hAnsi="Arial" w:cs="Arial"/>
          <w:b/>
          <w:sz w:val="20"/>
          <w:szCs w:val="20"/>
        </w:rPr>
      </w:pPr>
      <w:r w:rsidRPr="002E70FB">
        <w:rPr>
          <w:rFonts w:ascii="Arial" w:hAnsi="Arial" w:cs="Arial"/>
          <w:b/>
          <w:sz w:val="20"/>
          <w:szCs w:val="20"/>
        </w:rPr>
        <w:t xml:space="preserve">Politieke </w:t>
      </w:r>
      <w:r>
        <w:rPr>
          <w:rFonts w:ascii="Arial" w:hAnsi="Arial" w:cs="Arial"/>
          <w:b/>
          <w:sz w:val="20"/>
          <w:szCs w:val="20"/>
        </w:rPr>
        <w:t xml:space="preserve">onrust vertraagt nog verder het </w:t>
      </w:r>
      <w:r w:rsidRPr="002E70FB">
        <w:rPr>
          <w:rFonts w:ascii="Arial" w:hAnsi="Arial" w:cs="Arial"/>
          <w:b/>
          <w:sz w:val="20"/>
          <w:szCs w:val="20"/>
        </w:rPr>
        <w:t>vredesproces Nepal</w:t>
      </w:r>
      <w:r>
        <w:rPr>
          <w:rFonts w:ascii="Arial" w:hAnsi="Arial" w:cs="Arial"/>
          <w:b/>
          <w:sz w:val="20"/>
          <w:szCs w:val="20"/>
        </w:rPr>
        <w:t xml:space="preserve"> </w:t>
      </w:r>
    </w:p>
    <w:p w:rsidR="00301F3B" w:rsidRPr="002E70FB" w:rsidRDefault="00301F3B">
      <w:pPr>
        <w:rPr>
          <w:rFonts w:ascii="Arial" w:hAnsi="Arial" w:cs="Arial"/>
          <w:i/>
          <w:sz w:val="20"/>
          <w:szCs w:val="20"/>
        </w:rPr>
      </w:pPr>
      <w:r w:rsidRPr="002E70FB">
        <w:rPr>
          <w:rFonts w:ascii="Arial" w:hAnsi="Arial" w:cs="Arial"/>
          <w:i/>
          <w:sz w:val="20"/>
          <w:szCs w:val="20"/>
        </w:rPr>
        <w:t>Door Arno Driessen</w:t>
      </w:r>
    </w:p>
    <w:p w:rsidR="00301F3B" w:rsidRPr="002E70FB" w:rsidRDefault="00301F3B" w:rsidP="002E70FB">
      <w:pPr>
        <w:spacing w:after="0"/>
        <w:rPr>
          <w:rFonts w:ascii="Arial" w:hAnsi="Arial" w:cs="Arial"/>
          <w:b/>
          <w:sz w:val="20"/>
          <w:szCs w:val="20"/>
        </w:rPr>
      </w:pPr>
      <w:r w:rsidRPr="002E70FB">
        <w:rPr>
          <w:rFonts w:ascii="Arial" w:hAnsi="Arial" w:cs="Arial"/>
          <w:b/>
          <w:sz w:val="20"/>
          <w:szCs w:val="20"/>
        </w:rPr>
        <w:t>Op 27 mei 2012 eindigde de termijn van de Constituent Assembly (CA) in Nepal en kondigde toenmalig Minister-president Dr. Baburam Bhattarai verkiezingen aan voor een nieuwe constituerende</w:t>
      </w:r>
      <w:r>
        <w:rPr>
          <w:rFonts w:ascii="Arial" w:hAnsi="Arial" w:cs="Arial"/>
          <w:b/>
          <w:sz w:val="20"/>
          <w:szCs w:val="20"/>
        </w:rPr>
        <w:t xml:space="preserve"> </w:t>
      </w:r>
      <w:r w:rsidRPr="002E70FB">
        <w:rPr>
          <w:rFonts w:ascii="Arial" w:hAnsi="Arial" w:cs="Arial"/>
          <w:b/>
          <w:sz w:val="20"/>
          <w:szCs w:val="20"/>
        </w:rPr>
        <w:t>vergadering in november 2012. Vanwege het uitblijven van politieke besluitvorming heeft de</w:t>
      </w:r>
      <w:r>
        <w:rPr>
          <w:rFonts w:ascii="Arial" w:hAnsi="Arial" w:cs="Arial"/>
          <w:b/>
          <w:sz w:val="20"/>
          <w:szCs w:val="20"/>
        </w:rPr>
        <w:t xml:space="preserve"> </w:t>
      </w:r>
      <w:r w:rsidRPr="002E70FB">
        <w:rPr>
          <w:rFonts w:ascii="Arial" w:hAnsi="Arial" w:cs="Arial"/>
          <w:b/>
          <w:sz w:val="20"/>
          <w:szCs w:val="20"/>
        </w:rPr>
        <w:t>kiescommissie nog geen verkiezingen uitgeschreven. Op 14 maart jl. is Minister-President Bhattarai</w:t>
      </w:r>
      <w:r>
        <w:rPr>
          <w:rFonts w:ascii="Arial" w:hAnsi="Arial" w:cs="Arial"/>
          <w:b/>
          <w:sz w:val="20"/>
          <w:szCs w:val="20"/>
        </w:rPr>
        <w:t xml:space="preserve"> </w:t>
      </w:r>
      <w:r w:rsidRPr="002E70FB">
        <w:rPr>
          <w:rFonts w:ascii="Arial" w:hAnsi="Arial" w:cs="Arial"/>
          <w:b/>
          <w:sz w:val="20"/>
          <w:szCs w:val="20"/>
        </w:rPr>
        <w:t>afgetreden en werd de opperrechter van het Nepalees Hooggerechtshof – dhr. Khil Raj Regmi – als</w:t>
      </w:r>
      <w:r>
        <w:rPr>
          <w:rFonts w:ascii="Arial" w:hAnsi="Arial" w:cs="Arial"/>
          <w:b/>
          <w:sz w:val="20"/>
          <w:szCs w:val="20"/>
        </w:rPr>
        <w:t xml:space="preserve"> </w:t>
      </w:r>
      <w:r w:rsidRPr="002E70FB">
        <w:rPr>
          <w:rFonts w:ascii="Arial" w:hAnsi="Arial" w:cs="Arial"/>
          <w:b/>
          <w:sz w:val="20"/>
          <w:szCs w:val="20"/>
        </w:rPr>
        <w:t>opvolger benoemd, met als taak om binnen drie maanden nieuwe CA-verkiezingen uit te schrijven.</w:t>
      </w:r>
    </w:p>
    <w:p w:rsidR="00301F3B" w:rsidRDefault="00301F3B">
      <w:pPr>
        <w:rPr>
          <w:rFonts w:ascii="Arial" w:hAnsi="Arial" w:cs="Arial"/>
          <w:sz w:val="20"/>
          <w:szCs w:val="20"/>
        </w:rPr>
      </w:pPr>
    </w:p>
    <w:p w:rsidR="00301F3B" w:rsidRPr="002E70FB" w:rsidRDefault="00301F3B">
      <w:pPr>
        <w:rPr>
          <w:rFonts w:ascii="Arial" w:hAnsi="Arial" w:cs="Arial"/>
          <w:b/>
          <w:sz w:val="20"/>
          <w:szCs w:val="20"/>
        </w:rPr>
      </w:pPr>
      <w:r>
        <w:rPr>
          <w:rFonts w:ascii="Arial" w:hAnsi="Arial" w:cs="Arial"/>
          <w:b/>
          <w:sz w:val="20"/>
          <w:szCs w:val="20"/>
        </w:rPr>
        <w:t>Stagnatie in vredespoces</w:t>
      </w:r>
    </w:p>
    <w:p w:rsidR="00301F3B" w:rsidRPr="002E70FB" w:rsidRDefault="00301F3B">
      <w:pPr>
        <w:rPr>
          <w:rFonts w:ascii="Arial" w:hAnsi="Arial" w:cs="Arial"/>
          <w:sz w:val="20"/>
          <w:szCs w:val="20"/>
        </w:rPr>
      </w:pPr>
      <w:r w:rsidRPr="002E70FB">
        <w:rPr>
          <w:rFonts w:ascii="Arial" w:hAnsi="Arial" w:cs="Arial"/>
          <w:sz w:val="20"/>
          <w:szCs w:val="20"/>
        </w:rPr>
        <w:t xml:space="preserve">Op 14 maart 2013 werd de zittende opperrechter van het Nepalese Hoge Gerechtshof aangesteld als voorzitter van een interim-raad van ministers – bestaande uit een team van technocraten – met als enig mandaat het toezien op het houden van vrije, eerlijke en onpartijdige verkiezingen voor een tweede grondwetgevende vergadering voor (hervatting van) het opstellen van een nieuwe grondwet. </w:t>
      </w:r>
    </w:p>
    <w:p w:rsidR="00301F3B" w:rsidRDefault="00301F3B">
      <w:pPr>
        <w:rPr>
          <w:rFonts w:ascii="Arial" w:hAnsi="Arial" w:cs="Arial"/>
          <w:sz w:val="20"/>
          <w:szCs w:val="20"/>
        </w:rPr>
      </w:pPr>
      <w:r w:rsidRPr="002E70FB">
        <w:rPr>
          <w:rFonts w:ascii="Arial" w:hAnsi="Arial" w:cs="Arial"/>
          <w:sz w:val="20"/>
          <w:szCs w:val="20"/>
        </w:rPr>
        <w:t xml:space="preserve">Het mandaat van deze technocratische regering loopt tot uiterlijk 15 december 2013. Tevens ondertekende President Rev Nam Barav op dezelfde datum de door demissionair Premier Baburam Bhattarai geleide coalitieregering voorgelegde wetsvoorstel voor de instelling van een Waarheid en Verzoening Commissie. </w:t>
      </w:r>
    </w:p>
    <w:p w:rsidR="00301F3B" w:rsidRPr="002E70FB" w:rsidRDefault="00301F3B">
      <w:pPr>
        <w:rPr>
          <w:rFonts w:ascii="Arial" w:hAnsi="Arial" w:cs="Arial"/>
          <w:sz w:val="20"/>
          <w:szCs w:val="20"/>
        </w:rPr>
      </w:pPr>
      <w:r w:rsidRPr="002E70FB">
        <w:rPr>
          <w:rFonts w:ascii="Arial" w:hAnsi="Arial" w:cs="Arial"/>
          <w:sz w:val="20"/>
          <w:szCs w:val="20"/>
        </w:rPr>
        <w:t xml:space="preserve">Tegen beide besluiten vond in de Nepalese samenleving hevig protest plaats. Het opstellen van een nieuwe grondwet door de Grondwetgevende Vergadering </w:t>
      </w:r>
      <w:r>
        <w:rPr>
          <w:rFonts w:ascii="Arial" w:hAnsi="Arial" w:cs="Arial"/>
          <w:sz w:val="20"/>
          <w:szCs w:val="20"/>
        </w:rPr>
        <w:t xml:space="preserve">(CA) </w:t>
      </w:r>
      <w:r w:rsidRPr="002E70FB">
        <w:rPr>
          <w:rFonts w:ascii="Arial" w:hAnsi="Arial" w:cs="Arial"/>
          <w:sz w:val="20"/>
          <w:szCs w:val="20"/>
        </w:rPr>
        <w:t>alsmede de instelling van een Waarheid en Verzoening Commissie zijn twee belangrijke uitvloeisels van het in 2006 gesloten vredesakkoord tussen de toenmalige regering en de Maoïstische opstandelingen</w:t>
      </w:r>
      <w:r>
        <w:rPr>
          <w:rFonts w:ascii="Arial" w:hAnsi="Arial" w:cs="Arial"/>
          <w:sz w:val="20"/>
          <w:szCs w:val="20"/>
        </w:rPr>
        <w:t xml:space="preserve">. </w:t>
      </w:r>
      <w:r w:rsidRPr="002E70FB">
        <w:rPr>
          <w:rFonts w:ascii="Arial" w:hAnsi="Arial" w:cs="Arial"/>
          <w:sz w:val="20"/>
          <w:szCs w:val="20"/>
        </w:rPr>
        <w:t xml:space="preserve"> Beide ondervinden stagnatie door de politieke impasse waarin Nepal zich al enkele jaren in bevindt. </w:t>
      </w:r>
    </w:p>
    <w:p w:rsidR="00301F3B" w:rsidRPr="00024720" w:rsidRDefault="00301F3B">
      <w:pPr>
        <w:rPr>
          <w:rFonts w:ascii="Arial" w:hAnsi="Arial" w:cs="Arial"/>
          <w:b/>
          <w:sz w:val="20"/>
          <w:szCs w:val="20"/>
        </w:rPr>
      </w:pPr>
      <w:r w:rsidRPr="00024720">
        <w:rPr>
          <w:rFonts w:ascii="Arial" w:hAnsi="Arial" w:cs="Arial"/>
          <w:b/>
          <w:sz w:val="20"/>
          <w:szCs w:val="20"/>
        </w:rPr>
        <w:t>Politieke impasse leidt tot omstreden compromisvoorstel</w:t>
      </w:r>
    </w:p>
    <w:p w:rsidR="00301F3B" w:rsidRPr="002E70FB" w:rsidRDefault="00301F3B">
      <w:pPr>
        <w:rPr>
          <w:rFonts w:ascii="Arial" w:hAnsi="Arial" w:cs="Arial"/>
          <w:sz w:val="20"/>
          <w:szCs w:val="20"/>
        </w:rPr>
      </w:pPr>
      <w:r w:rsidRPr="002E70FB">
        <w:rPr>
          <w:rFonts w:ascii="Arial" w:hAnsi="Arial" w:cs="Arial"/>
          <w:sz w:val="20"/>
          <w:szCs w:val="20"/>
        </w:rPr>
        <w:t>Nadat de demissionaire coalitieregering van Premier Baburam Bhattarai er het afge</w:t>
      </w:r>
      <w:r>
        <w:rPr>
          <w:rFonts w:ascii="Arial" w:hAnsi="Arial" w:cs="Arial"/>
          <w:sz w:val="20"/>
          <w:szCs w:val="20"/>
        </w:rPr>
        <w:t xml:space="preserve">lopen jaar tot twee maal toe </w:t>
      </w:r>
      <w:r w:rsidRPr="002E70FB">
        <w:rPr>
          <w:rFonts w:ascii="Arial" w:hAnsi="Arial" w:cs="Arial"/>
          <w:sz w:val="20"/>
          <w:szCs w:val="20"/>
        </w:rPr>
        <w:t>niet in is geslaagd om nieuwe verkiezingen uit te schrijven is er in maart jl. een compromis gevonden in de benoeming van de opperrechter van het Hoge Gerechtshof – de 63 jarige Khil Raj Regmi – tot hoofd van een tijdelijke regering met als enige opdracht het uitschrijven van nieuwe verkiezingen.</w:t>
      </w:r>
    </w:p>
    <w:p w:rsidR="00301F3B" w:rsidRPr="002E70FB" w:rsidRDefault="00301F3B" w:rsidP="00713D44">
      <w:pPr>
        <w:rPr>
          <w:rFonts w:ascii="Arial" w:hAnsi="Arial" w:cs="Arial"/>
          <w:sz w:val="20"/>
          <w:szCs w:val="20"/>
        </w:rPr>
      </w:pPr>
      <w:r w:rsidRPr="002E70FB">
        <w:rPr>
          <w:rFonts w:ascii="Arial" w:hAnsi="Arial" w:cs="Arial"/>
          <w:sz w:val="20"/>
          <w:szCs w:val="20"/>
        </w:rPr>
        <w:t>Na de ontbinding van de eerste Grondwetgevende Vergadering op 28 mei 2012 en het eenzijdige besluit tot het uitschrijven van nieuwe verkiezingen per november 2012 door Premier Baburam Bhattarai, stapten N</w:t>
      </w:r>
      <w:r>
        <w:rPr>
          <w:rFonts w:ascii="Arial" w:hAnsi="Arial" w:cs="Arial"/>
          <w:sz w:val="20"/>
          <w:szCs w:val="20"/>
        </w:rPr>
        <w:t xml:space="preserve">epali </w:t>
      </w:r>
      <w:r w:rsidRPr="002E70FB">
        <w:rPr>
          <w:rFonts w:ascii="Arial" w:hAnsi="Arial" w:cs="Arial"/>
          <w:sz w:val="20"/>
          <w:szCs w:val="20"/>
        </w:rPr>
        <w:t>C</w:t>
      </w:r>
      <w:r>
        <w:rPr>
          <w:rFonts w:ascii="Arial" w:hAnsi="Arial" w:cs="Arial"/>
          <w:sz w:val="20"/>
          <w:szCs w:val="20"/>
        </w:rPr>
        <w:t>ongres (NC)</w:t>
      </w:r>
      <w:r w:rsidRPr="002E70FB">
        <w:rPr>
          <w:rFonts w:ascii="Arial" w:hAnsi="Arial" w:cs="Arial"/>
          <w:sz w:val="20"/>
          <w:szCs w:val="20"/>
        </w:rPr>
        <w:t xml:space="preserve"> en </w:t>
      </w:r>
      <w:r>
        <w:rPr>
          <w:rFonts w:ascii="Arial" w:hAnsi="Arial" w:cs="Arial"/>
          <w:sz w:val="20"/>
          <w:szCs w:val="20"/>
        </w:rPr>
        <w:t xml:space="preserve">de </w:t>
      </w:r>
      <w:r w:rsidRPr="002E70FB">
        <w:rPr>
          <w:rFonts w:ascii="Arial" w:hAnsi="Arial" w:cs="Arial"/>
          <w:sz w:val="20"/>
          <w:szCs w:val="20"/>
        </w:rPr>
        <w:t>CPN-UML uit de coalitieregering</w:t>
      </w:r>
      <w:r>
        <w:rPr>
          <w:rFonts w:ascii="Arial" w:hAnsi="Arial" w:cs="Arial"/>
          <w:sz w:val="20"/>
          <w:szCs w:val="20"/>
        </w:rPr>
        <w:t xml:space="preserve">. </w:t>
      </w:r>
      <w:r w:rsidRPr="002E70FB">
        <w:rPr>
          <w:rFonts w:ascii="Arial" w:hAnsi="Arial" w:cs="Arial"/>
          <w:sz w:val="20"/>
          <w:szCs w:val="20"/>
        </w:rPr>
        <w:t>De voormalige coalitiegenoten NC en CPN-UML spanden zich in voor het vervangen van Premier Bhattarai alsmede het vormen van een nieuwe interim-regering. In hun ogen maakte de door Premier Bhattarai geleide coalitie zich schuldig aan machtsmisbruik, corruptie, ondermijning van de rechtsstaat en mensenrechten. In hun optiek was Bhattarai niet gemachtigd om eenzijdig nieuwe verkiezingen voor een tweede Grondwetgevende Vergadering uit te schrijven. En hoewel Bhattarai in het afgelopen jaar tot twee maal toe een nieuwe verkiezing uitriep slaagde hij er niet in om deze</w:t>
      </w:r>
      <w:r>
        <w:rPr>
          <w:rFonts w:ascii="Arial" w:hAnsi="Arial" w:cs="Arial"/>
          <w:sz w:val="20"/>
          <w:szCs w:val="20"/>
        </w:rPr>
        <w:t xml:space="preserve"> daadwerkelijk</w:t>
      </w:r>
      <w:r w:rsidRPr="002E70FB">
        <w:rPr>
          <w:rFonts w:ascii="Arial" w:hAnsi="Arial" w:cs="Arial"/>
          <w:sz w:val="20"/>
          <w:szCs w:val="20"/>
        </w:rPr>
        <w:t xml:space="preserve"> te houden.</w:t>
      </w:r>
    </w:p>
    <w:p w:rsidR="00301F3B" w:rsidRDefault="00301F3B" w:rsidP="00713D44">
      <w:pPr>
        <w:rPr>
          <w:rFonts w:ascii="Arial" w:hAnsi="Arial" w:cs="Arial"/>
          <w:sz w:val="20"/>
          <w:szCs w:val="20"/>
        </w:rPr>
      </w:pPr>
      <w:r w:rsidRPr="002E70FB">
        <w:rPr>
          <w:rFonts w:ascii="Arial" w:hAnsi="Arial" w:cs="Arial"/>
          <w:sz w:val="20"/>
          <w:szCs w:val="20"/>
        </w:rPr>
        <w:t>Het was in deze politieke impasse dat Pushpa Kamal Dahal – de voorzitter van de</w:t>
      </w:r>
      <w:r>
        <w:rPr>
          <w:rFonts w:ascii="Arial" w:hAnsi="Arial" w:cs="Arial"/>
          <w:sz w:val="20"/>
          <w:szCs w:val="20"/>
        </w:rPr>
        <w:t xml:space="preserve"> Maoïstische U</w:t>
      </w:r>
      <w:r w:rsidRPr="002E70FB">
        <w:rPr>
          <w:rFonts w:ascii="Arial" w:hAnsi="Arial" w:cs="Arial"/>
          <w:sz w:val="20"/>
          <w:szCs w:val="20"/>
        </w:rPr>
        <w:t>CPN-M</w:t>
      </w:r>
      <w:r>
        <w:rPr>
          <w:rFonts w:ascii="Arial" w:hAnsi="Arial" w:cs="Arial"/>
          <w:sz w:val="20"/>
          <w:szCs w:val="20"/>
        </w:rPr>
        <w:t>, dezelfde politieke partij als Baburam Bhattarai</w:t>
      </w:r>
      <w:r w:rsidRPr="002E70FB">
        <w:rPr>
          <w:rFonts w:ascii="Arial" w:hAnsi="Arial" w:cs="Arial"/>
          <w:sz w:val="20"/>
          <w:szCs w:val="20"/>
        </w:rPr>
        <w:t xml:space="preserve"> – het voorstel op tafel legde voor de vorming van een tijdelijke regering van technocraten onder leiding van de Opperrechter van het Hoge Gerechtshof. Een interim-regering welke uitsluitend zou zijn gemandateerd met het uitschrijven van de verkiezingen voor een nieuwe Grondwetgevende Vergadering ter afronding van het opstellen van een nieuwe Nepalese grondwet. Dit voorstel bracht een storm van reacties op gang, zowel van voor- als tegenstanders. Hoewel het vrij controversieel is voor een zittende opperrechter van een Hoge Gerechtshof om een regering te gaan leiden, zagen de voormalige coalitiegenoten NC en CPN-UML daar de mogelijkheid in om Premier Bhattarai tot aftreden te bewegen. Derhalve verklaarden beide partijen zich voorstander van het voorstel</w:t>
      </w:r>
      <w:r>
        <w:rPr>
          <w:rFonts w:ascii="Arial" w:hAnsi="Arial" w:cs="Arial"/>
          <w:sz w:val="20"/>
          <w:szCs w:val="20"/>
        </w:rPr>
        <w:t xml:space="preserve">. </w:t>
      </w:r>
    </w:p>
    <w:p w:rsidR="00301F3B" w:rsidRPr="002E70FB" w:rsidRDefault="00301F3B" w:rsidP="00713D44">
      <w:pPr>
        <w:rPr>
          <w:rFonts w:ascii="Arial" w:hAnsi="Arial" w:cs="Arial"/>
          <w:sz w:val="20"/>
          <w:szCs w:val="20"/>
        </w:rPr>
      </w:pPr>
      <w:r w:rsidRPr="002E70FB">
        <w:rPr>
          <w:rFonts w:ascii="Arial" w:hAnsi="Arial" w:cs="Arial"/>
          <w:sz w:val="20"/>
          <w:szCs w:val="20"/>
        </w:rPr>
        <w:t>Onder aanvoering van de CPN-M – de door havik Mohan Baidya geleide fractie die zich in juni 2012 van de UCPN-M had afgescheiden – verklaarden drieëndertig kleinere politieke patijen zich fel tegenstander van het voorstel en riepen op tot een boycot van de aanstaande verkiezingen. De Nepalese orde van advocaten verklaarde het voorstel onrechtmatig en zelfs ongrondwettig omdat het de scheiding der machten aantast</w:t>
      </w:r>
      <w:r>
        <w:rPr>
          <w:rFonts w:ascii="Arial" w:hAnsi="Arial" w:cs="Arial"/>
          <w:sz w:val="20"/>
          <w:szCs w:val="20"/>
        </w:rPr>
        <w:t xml:space="preserve">. </w:t>
      </w:r>
      <w:r w:rsidRPr="002E70FB">
        <w:rPr>
          <w:rFonts w:ascii="Arial" w:hAnsi="Arial" w:cs="Arial"/>
          <w:sz w:val="20"/>
          <w:szCs w:val="20"/>
        </w:rPr>
        <w:t xml:space="preserve">Regmi </w:t>
      </w:r>
      <w:r>
        <w:rPr>
          <w:rFonts w:ascii="Arial" w:hAnsi="Arial" w:cs="Arial"/>
          <w:sz w:val="20"/>
          <w:szCs w:val="20"/>
        </w:rPr>
        <w:t xml:space="preserve">legt </w:t>
      </w:r>
      <w:r w:rsidRPr="002E70FB">
        <w:rPr>
          <w:rFonts w:ascii="Arial" w:hAnsi="Arial" w:cs="Arial"/>
          <w:sz w:val="20"/>
          <w:szCs w:val="20"/>
        </w:rPr>
        <w:t xml:space="preserve">zijn functie als Opperrechter officieel niet neer. Als voorzitter van de interim-raad van ministers zal Regmi als Opperrechter geen zaken in behandeling nemen maar wel actief zijn werkzaamheden hervatten zodra de verkiezingen plaatsgevonden hebben. </w:t>
      </w:r>
    </w:p>
    <w:p w:rsidR="00301F3B" w:rsidRPr="00BB14ED" w:rsidRDefault="00301F3B" w:rsidP="004F2A2D">
      <w:pPr>
        <w:rPr>
          <w:rFonts w:ascii="Arial" w:hAnsi="Arial" w:cs="Arial"/>
          <w:b/>
          <w:sz w:val="20"/>
          <w:szCs w:val="20"/>
        </w:rPr>
      </w:pPr>
      <w:r>
        <w:rPr>
          <w:rFonts w:ascii="Arial" w:hAnsi="Arial" w:cs="Arial"/>
          <w:b/>
          <w:sz w:val="20"/>
          <w:szCs w:val="20"/>
        </w:rPr>
        <w:t>Verdeeldheid tussen politieke partijen</w:t>
      </w:r>
    </w:p>
    <w:p w:rsidR="00301F3B" w:rsidRDefault="00301F3B" w:rsidP="006A3CB6">
      <w:pPr>
        <w:rPr>
          <w:rFonts w:ascii="Arial" w:hAnsi="Arial" w:cs="Arial"/>
          <w:sz w:val="20"/>
          <w:szCs w:val="20"/>
        </w:rPr>
      </w:pPr>
      <w:r w:rsidRPr="002E70FB">
        <w:rPr>
          <w:rFonts w:ascii="Arial" w:hAnsi="Arial" w:cs="Arial"/>
          <w:sz w:val="20"/>
          <w:szCs w:val="20"/>
        </w:rPr>
        <w:t xml:space="preserve">Op 14 maart 2013 werd de zittende opperrechter van het Nepalese Hoge Gerechtshof </w:t>
      </w:r>
      <w:r>
        <w:rPr>
          <w:rFonts w:ascii="Arial" w:hAnsi="Arial" w:cs="Arial"/>
          <w:sz w:val="20"/>
          <w:szCs w:val="20"/>
        </w:rPr>
        <w:t xml:space="preserve">ondankst de protesten toch </w:t>
      </w:r>
      <w:r w:rsidRPr="002E70FB">
        <w:rPr>
          <w:rFonts w:ascii="Arial" w:hAnsi="Arial" w:cs="Arial"/>
          <w:sz w:val="20"/>
          <w:szCs w:val="20"/>
        </w:rPr>
        <w:t>aangesteld als voorzitter van een interim-raad van ministers die zal toezien op het houden van open en vrij</w:t>
      </w:r>
      <w:r>
        <w:rPr>
          <w:rFonts w:ascii="Arial" w:hAnsi="Arial" w:cs="Arial"/>
          <w:sz w:val="20"/>
          <w:szCs w:val="20"/>
        </w:rPr>
        <w:t>e verkiezingen voor een tweede Grondwetgevende V</w:t>
      </w:r>
      <w:r w:rsidRPr="002E70FB">
        <w:rPr>
          <w:rFonts w:ascii="Arial" w:hAnsi="Arial" w:cs="Arial"/>
          <w:sz w:val="20"/>
          <w:szCs w:val="20"/>
        </w:rPr>
        <w:t>ergadering</w:t>
      </w:r>
      <w:r>
        <w:rPr>
          <w:rFonts w:ascii="Arial" w:hAnsi="Arial" w:cs="Arial"/>
          <w:sz w:val="20"/>
          <w:szCs w:val="20"/>
        </w:rPr>
        <w:t>. H</w:t>
      </w:r>
      <w:r w:rsidRPr="002E70FB">
        <w:rPr>
          <w:rFonts w:ascii="Arial" w:hAnsi="Arial" w:cs="Arial"/>
          <w:sz w:val="20"/>
          <w:szCs w:val="20"/>
        </w:rPr>
        <w:t xml:space="preserve">et mandaat voor deze tijdelijke regering loop uiterlijk tot 15 december 2013. Naar veel gesteggel over technische aspecten met betrekking tot de voorbereidingen van de verkiezingen en een gebrek aan interne en externe politieke consensus om een gunstig klimaat te scheppen voor het houden van nieuwe </w:t>
      </w:r>
    </w:p>
    <w:p w:rsidR="00301F3B" w:rsidRPr="002E70FB" w:rsidRDefault="00301F3B" w:rsidP="006A3CB6">
      <w:pPr>
        <w:rPr>
          <w:rFonts w:ascii="Arial" w:hAnsi="Arial" w:cs="Arial"/>
          <w:sz w:val="20"/>
          <w:szCs w:val="20"/>
        </w:rPr>
      </w:pPr>
      <w:r>
        <w:rPr>
          <w:rFonts w:ascii="Arial" w:hAnsi="Arial" w:cs="Arial"/>
          <w:sz w:val="20"/>
          <w:szCs w:val="20"/>
        </w:rPr>
        <w:t>De</w:t>
      </w:r>
      <w:r w:rsidRPr="002E70FB">
        <w:rPr>
          <w:rFonts w:ascii="Arial" w:hAnsi="Arial" w:cs="Arial"/>
          <w:sz w:val="20"/>
          <w:szCs w:val="20"/>
        </w:rPr>
        <w:t xml:space="preserve"> betrokken politieke partijen die voorstander waren van de vorming van een door de Opperrechter geleide interim-raad van Ministers </w:t>
      </w:r>
      <w:r>
        <w:rPr>
          <w:rFonts w:ascii="Arial" w:hAnsi="Arial" w:cs="Arial"/>
          <w:sz w:val="20"/>
          <w:szCs w:val="20"/>
        </w:rPr>
        <w:t xml:space="preserve">zijn </w:t>
      </w:r>
      <w:r w:rsidRPr="002E70FB">
        <w:rPr>
          <w:rFonts w:ascii="Arial" w:hAnsi="Arial" w:cs="Arial"/>
          <w:sz w:val="20"/>
          <w:szCs w:val="20"/>
        </w:rPr>
        <w:t>overeen</w:t>
      </w:r>
      <w:r>
        <w:rPr>
          <w:rFonts w:ascii="Arial" w:hAnsi="Arial" w:cs="Arial"/>
          <w:sz w:val="20"/>
          <w:szCs w:val="20"/>
        </w:rPr>
        <w:t xml:space="preserve"> gekomen</w:t>
      </w:r>
      <w:r w:rsidRPr="002E70FB">
        <w:rPr>
          <w:rFonts w:ascii="Arial" w:hAnsi="Arial" w:cs="Arial"/>
          <w:sz w:val="20"/>
          <w:szCs w:val="20"/>
        </w:rPr>
        <w:t xml:space="preserve"> dat er een adviescommissie gevormd zou worden. De hoofdtaak van deze commissie – genaamd High Level Political Committe (HLPC) </w:t>
      </w:r>
      <w:r>
        <w:rPr>
          <w:rFonts w:ascii="Arial" w:hAnsi="Arial" w:cs="Arial"/>
          <w:sz w:val="20"/>
          <w:szCs w:val="20"/>
        </w:rPr>
        <w:t xml:space="preserve">is het </w:t>
      </w:r>
      <w:r w:rsidRPr="002E70FB">
        <w:rPr>
          <w:rFonts w:ascii="Arial" w:hAnsi="Arial" w:cs="Arial"/>
          <w:sz w:val="20"/>
          <w:szCs w:val="20"/>
        </w:rPr>
        <w:t>het assisteren van de interim-raad bij het bevorderen van een gunstig politiek klimaat voor vrije, eerlijke en onpartijdige verkiezingen</w:t>
      </w:r>
      <w:r>
        <w:rPr>
          <w:rFonts w:ascii="Arial" w:hAnsi="Arial" w:cs="Arial"/>
          <w:sz w:val="20"/>
          <w:szCs w:val="20"/>
        </w:rPr>
        <w:t xml:space="preserve">. </w:t>
      </w:r>
      <w:r w:rsidRPr="002E70FB">
        <w:rPr>
          <w:rFonts w:ascii="Arial" w:hAnsi="Arial" w:cs="Arial"/>
          <w:sz w:val="20"/>
          <w:szCs w:val="20"/>
        </w:rPr>
        <w:t xml:space="preserve"> </w:t>
      </w:r>
    </w:p>
    <w:p w:rsidR="00301F3B" w:rsidRPr="002E70FB" w:rsidRDefault="00301F3B" w:rsidP="006A3CB6">
      <w:pPr>
        <w:rPr>
          <w:rFonts w:ascii="Arial" w:hAnsi="Arial" w:cs="Arial"/>
          <w:sz w:val="20"/>
          <w:szCs w:val="20"/>
        </w:rPr>
      </w:pPr>
      <w:r w:rsidRPr="002E70FB">
        <w:rPr>
          <w:rFonts w:ascii="Arial" w:hAnsi="Arial" w:cs="Arial"/>
          <w:sz w:val="20"/>
          <w:szCs w:val="20"/>
        </w:rPr>
        <w:t>Echter, in plaats van te werken aan het bevorderen van onderling politiek vertrouwen om een sfeer van politiek consensus en samenwerking op te bouwen, met name richting de partijen die voornemens zijn om de verkiezingen te boycotte</w:t>
      </w:r>
      <w:r>
        <w:rPr>
          <w:rFonts w:ascii="Arial" w:hAnsi="Arial" w:cs="Arial"/>
          <w:sz w:val="20"/>
          <w:szCs w:val="20"/>
        </w:rPr>
        <w:t>n, bestrij</w:t>
      </w:r>
      <w:r w:rsidRPr="002E70FB">
        <w:rPr>
          <w:rFonts w:ascii="Arial" w:hAnsi="Arial" w:cs="Arial"/>
          <w:sz w:val="20"/>
          <w:szCs w:val="20"/>
        </w:rPr>
        <w:t xml:space="preserve">den de voorstanders elkaar onderling binnen de HLPC over diverse kwesties met betrekking tot het voorbereiden van de verkiezingen en de kieswet. De vier partijen bleken met name onderling verdeeld over omstreden verkiezingsgerelateerde zaken als reductie van het aantal CA leden van 601 naar 491 leden, de hoogte van de kiesdrempel, en het weren van potentiële kandidaten met een strafblad of die verdacht worden van een misdrijf. Met name de bepalingen die niet waren geregeld in het </w:t>
      </w:r>
      <w:r>
        <w:rPr>
          <w:rFonts w:ascii="Arial" w:hAnsi="Arial" w:cs="Arial"/>
          <w:sz w:val="20"/>
          <w:szCs w:val="20"/>
        </w:rPr>
        <w:t>oorspronkelijke</w:t>
      </w:r>
      <w:r w:rsidRPr="002E70FB">
        <w:rPr>
          <w:rFonts w:ascii="Arial" w:hAnsi="Arial" w:cs="Arial"/>
          <w:sz w:val="20"/>
          <w:szCs w:val="20"/>
        </w:rPr>
        <w:t xml:space="preserve"> akkoord </w:t>
      </w:r>
      <w:r>
        <w:rPr>
          <w:rFonts w:ascii="Arial" w:hAnsi="Arial" w:cs="Arial"/>
          <w:sz w:val="20"/>
          <w:szCs w:val="20"/>
        </w:rPr>
        <w:t>verdel</w:t>
      </w:r>
      <w:r w:rsidRPr="002E70FB">
        <w:rPr>
          <w:rFonts w:ascii="Arial" w:hAnsi="Arial" w:cs="Arial"/>
          <w:sz w:val="20"/>
          <w:szCs w:val="20"/>
        </w:rPr>
        <w:t>en de partijen</w:t>
      </w:r>
      <w:r>
        <w:rPr>
          <w:rFonts w:ascii="Arial" w:hAnsi="Arial" w:cs="Arial"/>
          <w:sz w:val="20"/>
          <w:szCs w:val="20"/>
        </w:rPr>
        <w:t>. Bijvoorbeeld</w:t>
      </w:r>
      <w:r w:rsidRPr="002E70FB">
        <w:rPr>
          <w:rFonts w:ascii="Arial" w:hAnsi="Arial" w:cs="Arial"/>
          <w:sz w:val="20"/>
          <w:szCs w:val="20"/>
        </w:rPr>
        <w:t xml:space="preserve"> de bepaling hoe om te gaan met een potentiële kandidaat </w:t>
      </w:r>
      <w:r>
        <w:rPr>
          <w:rFonts w:ascii="Arial" w:hAnsi="Arial" w:cs="Arial"/>
          <w:sz w:val="20"/>
          <w:szCs w:val="20"/>
        </w:rPr>
        <w:t xml:space="preserve">die is </w:t>
      </w:r>
      <w:r w:rsidRPr="002E70FB">
        <w:rPr>
          <w:rFonts w:ascii="Arial" w:hAnsi="Arial" w:cs="Arial"/>
          <w:sz w:val="20"/>
          <w:szCs w:val="20"/>
        </w:rPr>
        <w:t>veroordeeld voor of verdacht van criminele activiteiten. Na drie maanden onderling getouwtrek en geen daadkracht om tot overeenstemming te komen hebben de partijen in de HLPC tenslotte besloten om de verantwoordelijkheid en besluitvorming voor de voorbereiding van de verkiezingen voor een tweede Grondwetgevende Vergadering over te laten aan Opperrechter Regmi en de interim-raad van Ministers. Deze stelde vervolgens de datum voor verkiezingen vast op 19 november a.s. en voerde aanpassingen door in de herziende reglementen voor de verkiezingen, als reductie van het aantal CA leden van 601 naar 491 leden en het uitsluiten van potentiële kandidaten van deelname aan de verkiezing die betrokken zijn geweest bij bepaalde strafzaken, met inbegrip van corruptie, verkrachting, moord, identiteitsfraude, witwaspraktijken, drugssmokkel, mensenhandel en andere zaken en die reeds veroordeeld zijn door een rechtbank. Dit in plaats van het weren van alle potentiële kandidaten die mogelijk geconfronteerd worden met strafrechtelijke vervolging naar aanleiding van de burgeroorlog.</w:t>
      </w:r>
    </w:p>
    <w:p w:rsidR="00301F3B" w:rsidRDefault="00301F3B" w:rsidP="006A3CB6">
      <w:pPr>
        <w:rPr>
          <w:rFonts w:ascii="Arial" w:hAnsi="Arial" w:cs="Arial"/>
          <w:sz w:val="20"/>
          <w:szCs w:val="20"/>
        </w:rPr>
      </w:pPr>
      <w:r w:rsidRPr="002E70FB">
        <w:rPr>
          <w:rFonts w:ascii="Arial" w:hAnsi="Arial" w:cs="Arial"/>
          <w:sz w:val="20"/>
          <w:szCs w:val="20"/>
        </w:rPr>
        <w:t xml:space="preserve">De controverse over uitsluiting van potentiële kandidaten die mogelijk geconfronteerd kunnen worden met strafvervolging naar aanleiding van de burgeroorlog had wellicht voorkomen kunnen worden indien de Waarheid en Verzoening Commissie reeds zou zijn geïnstalleerd. Het voornemen voor het instellen van een Waarheid en Verzoening Commissie (de zogenaamde Truth and Reconciliation Commission (TRC) is een onderdeel uit het in 2006 gesloten Vredesakkoord die een eind maakte aan de 10 jarige Nepalese burgeroorlog. </w:t>
      </w:r>
    </w:p>
    <w:p w:rsidR="00301F3B" w:rsidRPr="002E70FB" w:rsidRDefault="00301F3B" w:rsidP="006A3CB6">
      <w:pPr>
        <w:rPr>
          <w:rFonts w:ascii="Arial" w:hAnsi="Arial" w:cs="Arial"/>
          <w:sz w:val="20"/>
          <w:szCs w:val="20"/>
        </w:rPr>
      </w:pPr>
      <w:r w:rsidRPr="002E70FB">
        <w:rPr>
          <w:rFonts w:ascii="Arial" w:hAnsi="Arial" w:cs="Arial"/>
          <w:sz w:val="20"/>
          <w:szCs w:val="20"/>
        </w:rPr>
        <w:t xml:space="preserve">Op 14 maart 2013 ondertekende President Rev Nam Barav het voorgelegde wetsvoorstel voor de instelling van een Waarheid en Verzoening Commissie. Een wetsvoorstel waarbij de politieke partijen verenigd in het HLPC zeer nauw bij betrokken zijn geweest en waar nationaal en internationaal veel weerstand tegen is. De twee grootste bezwaren tegen het TRC-wetsvoorstel zijn dat de wet niet voldoet aan internationale strafrechtelijke normen en de bepaling die de mogelijkheid schept tot verlening van algehele amnestie voor daders van mensenrechtenschendingen gedurende de Nepalese burgeroorlog. De slachtoffers van mensenrechtenschendingen in Nepal en mensenrechtenadvocaten zijn al een procedure bij het Hoge Gerechtshof gestart om het wetsvoorstel met name op deze twee bezwaren te wijzigen. </w:t>
      </w:r>
    </w:p>
    <w:p w:rsidR="00301F3B" w:rsidRPr="00ED07A1" w:rsidRDefault="00301F3B" w:rsidP="002F57BF">
      <w:pPr>
        <w:rPr>
          <w:rFonts w:ascii="Arial" w:hAnsi="Arial" w:cs="Arial"/>
          <w:b/>
          <w:sz w:val="20"/>
          <w:szCs w:val="20"/>
        </w:rPr>
      </w:pPr>
      <w:r>
        <w:rPr>
          <w:rFonts w:ascii="Arial" w:hAnsi="Arial" w:cs="Arial"/>
          <w:b/>
          <w:sz w:val="20"/>
          <w:szCs w:val="20"/>
        </w:rPr>
        <w:t xml:space="preserve">De verkiezingen </w:t>
      </w:r>
    </w:p>
    <w:p w:rsidR="00301F3B" w:rsidRPr="002E70FB" w:rsidRDefault="00301F3B" w:rsidP="003134F0">
      <w:pPr>
        <w:rPr>
          <w:rFonts w:ascii="Arial" w:hAnsi="Arial" w:cs="Arial"/>
          <w:sz w:val="20"/>
          <w:szCs w:val="20"/>
        </w:rPr>
      </w:pPr>
      <w:r w:rsidRPr="002E70FB">
        <w:rPr>
          <w:rFonts w:ascii="Arial" w:hAnsi="Arial" w:cs="Arial"/>
          <w:sz w:val="20"/>
          <w:szCs w:val="20"/>
        </w:rPr>
        <w:t>De aankondiging van de verk</w:t>
      </w:r>
      <w:r>
        <w:rPr>
          <w:rFonts w:ascii="Arial" w:hAnsi="Arial" w:cs="Arial"/>
          <w:sz w:val="20"/>
          <w:szCs w:val="20"/>
        </w:rPr>
        <w:t>iezingsdatum van 19 november 2013</w:t>
      </w:r>
      <w:r w:rsidRPr="002E70FB">
        <w:rPr>
          <w:rFonts w:ascii="Arial" w:hAnsi="Arial" w:cs="Arial"/>
          <w:sz w:val="20"/>
          <w:szCs w:val="20"/>
        </w:rPr>
        <w:t xml:space="preserve"> en het doorvoeren van wijzigingen in de verkiezingswetten is slechts het begin. Het zwaartepunt zal liggen op het binnenboord halen van de politieke tegenstanders. De 33 oppositiepartijen die zich door het gesloten </w:t>
      </w:r>
      <w:r>
        <w:rPr>
          <w:rFonts w:ascii="Arial" w:hAnsi="Arial" w:cs="Arial"/>
          <w:sz w:val="20"/>
          <w:szCs w:val="20"/>
        </w:rPr>
        <w:t>akkoord buiten</w:t>
      </w:r>
      <w:r w:rsidRPr="002E70FB">
        <w:rPr>
          <w:rFonts w:ascii="Arial" w:hAnsi="Arial" w:cs="Arial"/>
          <w:sz w:val="20"/>
          <w:szCs w:val="20"/>
        </w:rPr>
        <w:t>gesloten voelen van het politieke- en constitutionele proces houden nog steeds vast aan hun eisen en bezwaren</w:t>
      </w:r>
      <w:r>
        <w:rPr>
          <w:rFonts w:ascii="Arial" w:hAnsi="Arial" w:cs="Arial"/>
          <w:sz w:val="20"/>
          <w:szCs w:val="20"/>
        </w:rPr>
        <w:t xml:space="preserve">. Ze </w:t>
      </w:r>
      <w:r w:rsidRPr="002E70FB">
        <w:rPr>
          <w:rFonts w:ascii="Arial" w:hAnsi="Arial" w:cs="Arial"/>
          <w:sz w:val="20"/>
          <w:szCs w:val="20"/>
        </w:rPr>
        <w:t>hebben aangegeven de verkiezingen te boycotten en het verkiezingsproces te verstoren. De belangrijkste eis die op tafel ligt is het aftreden van de door Regmi geleide interim-raad van Ministers, de vervanging daarvan door een politieke consensusregering en uitstelling van het verkiezingsproces. Zonder op de voorwaarden van de oppositiepartijen in te gaan zal het moeilijk worden om een gunstig politiek klimaat voor de verkiezingen van 19 november te scheppen. De Opperrechter en de partijen binnen de HLPC zullen dus alles op alles moeten zetten om de gesprekken en discussies met de oppositiepartijen voort te zetten en tot consensus te komen over deelname aan de verkiezingen</w:t>
      </w:r>
      <w:r>
        <w:rPr>
          <w:rFonts w:ascii="Arial" w:hAnsi="Arial" w:cs="Arial"/>
          <w:sz w:val="20"/>
          <w:szCs w:val="20"/>
        </w:rPr>
        <w:t xml:space="preserve">. </w:t>
      </w:r>
      <w:r w:rsidRPr="002E70FB">
        <w:rPr>
          <w:rFonts w:ascii="Arial" w:hAnsi="Arial" w:cs="Arial"/>
          <w:sz w:val="20"/>
          <w:szCs w:val="20"/>
        </w:rPr>
        <w:t xml:space="preserve">De CPN-M heeft inmiddels intern formeel besloten om de aanstaande verkiezingen te boycotten en het verkiezingsproces te verstoren. Op 25 juli a.s. zal de partij haar manifest en campagne om de verkiezingen te boycotten presenteren en de geesten rijp maken voor zowel ‘onderhandelingen’ als ‘opstand’. De presentatie van dit manifest kan mede bepalen of de Nepalese politiek een draai maakt in de richting van een confrontatie of een vreedzaam verloop. </w:t>
      </w:r>
    </w:p>
    <w:p w:rsidR="00301F3B" w:rsidRPr="00ED07A1" w:rsidRDefault="00301F3B" w:rsidP="008B55B1">
      <w:pPr>
        <w:rPr>
          <w:rFonts w:ascii="Arial" w:hAnsi="Arial" w:cs="Arial"/>
          <w:b/>
          <w:sz w:val="20"/>
          <w:szCs w:val="20"/>
        </w:rPr>
      </w:pPr>
      <w:r>
        <w:rPr>
          <w:rFonts w:ascii="Arial" w:hAnsi="Arial" w:cs="Arial"/>
          <w:b/>
          <w:sz w:val="20"/>
          <w:szCs w:val="20"/>
        </w:rPr>
        <w:t>Tegenslag</w:t>
      </w:r>
      <w:r w:rsidRPr="00ED07A1">
        <w:rPr>
          <w:rFonts w:ascii="Arial" w:hAnsi="Arial" w:cs="Arial"/>
          <w:b/>
          <w:sz w:val="20"/>
          <w:szCs w:val="20"/>
        </w:rPr>
        <w:t xml:space="preserve"> voor mensenrechten in Nepal</w:t>
      </w:r>
    </w:p>
    <w:p w:rsidR="00301F3B" w:rsidRPr="002E70FB" w:rsidRDefault="00301F3B" w:rsidP="008B55B1">
      <w:pPr>
        <w:rPr>
          <w:rFonts w:ascii="Arial" w:hAnsi="Arial" w:cs="Arial"/>
          <w:sz w:val="20"/>
          <w:szCs w:val="20"/>
        </w:rPr>
      </w:pPr>
      <w:r w:rsidRPr="002E70FB">
        <w:rPr>
          <w:rFonts w:ascii="Arial" w:hAnsi="Arial" w:cs="Arial"/>
          <w:sz w:val="20"/>
          <w:szCs w:val="20"/>
        </w:rPr>
        <w:t xml:space="preserve">Het mogelijk (dreigen met het blijvend) uitstelling van de verkiezingsdatum voor (hervatting van) het opstellen van een nieuwe grondwet zal het Nepalese vredesproces verder vertragen en een tegenslag zijn voor de mensenrechtenverdedigers in Nepal. Temeer er in het TRC-wetsvoorstel de mogelijkheid is opgenomen tot het verlenen van algehele amnestie voor daders van mensenrechtenschendingen gedurende de Nepalese burgeroorlog. Dit is een grote tegenslag voor de slachtoffers van mensenrechtenschendingen in Nepal, die gedurende het proces van totstandkoming van het wetsvoorstel buiten beschouwing zijn gelaten en geen inbreng hebben gehad. </w:t>
      </w:r>
    </w:p>
    <w:sectPr w:rsidR="00301F3B" w:rsidRPr="002E70FB" w:rsidSect="00DA23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251F"/>
    <w:rsid w:val="00007558"/>
    <w:rsid w:val="00024720"/>
    <w:rsid w:val="000373D8"/>
    <w:rsid w:val="00061E3B"/>
    <w:rsid w:val="00083990"/>
    <w:rsid w:val="00097268"/>
    <w:rsid w:val="000B0BDE"/>
    <w:rsid w:val="000B3ED6"/>
    <w:rsid w:val="000C4B5E"/>
    <w:rsid w:val="000D0A4C"/>
    <w:rsid w:val="000D3F44"/>
    <w:rsid w:val="000E4A0F"/>
    <w:rsid w:val="000F5843"/>
    <w:rsid w:val="001070C9"/>
    <w:rsid w:val="001171DF"/>
    <w:rsid w:val="00122926"/>
    <w:rsid w:val="00147362"/>
    <w:rsid w:val="00184A8C"/>
    <w:rsid w:val="00185D97"/>
    <w:rsid w:val="001B058E"/>
    <w:rsid w:val="001C4A20"/>
    <w:rsid w:val="001D055B"/>
    <w:rsid w:val="001D61AA"/>
    <w:rsid w:val="00225DC9"/>
    <w:rsid w:val="00232110"/>
    <w:rsid w:val="002336C4"/>
    <w:rsid w:val="00270E9D"/>
    <w:rsid w:val="0029304D"/>
    <w:rsid w:val="002B42C8"/>
    <w:rsid w:val="002B7775"/>
    <w:rsid w:val="002C3FAF"/>
    <w:rsid w:val="002E583B"/>
    <w:rsid w:val="002E70FB"/>
    <w:rsid w:val="002F559F"/>
    <w:rsid w:val="002F57BF"/>
    <w:rsid w:val="00301F3B"/>
    <w:rsid w:val="00306126"/>
    <w:rsid w:val="003134F0"/>
    <w:rsid w:val="003471F1"/>
    <w:rsid w:val="00376D6F"/>
    <w:rsid w:val="003A6347"/>
    <w:rsid w:val="003D6FAA"/>
    <w:rsid w:val="003E53C1"/>
    <w:rsid w:val="003F1BA2"/>
    <w:rsid w:val="00413B82"/>
    <w:rsid w:val="004246B8"/>
    <w:rsid w:val="0045122C"/>
    <w:rsid w:val="00454FCF"/>
    <w:rsid w:val="00480049"/>
    <w:rsid w:val="004C3086"/>
    <w:rsid w:val="004E505A"/>
    <w:rsid w:val="004F2A2D"/>
    <w:rsid w:val="00504B4E"/>
    <w:rsid w:val="005124A9"/>
    <w:rsid w:val="00512914"/>
    <w:rsid w:val="00542872"/>
    <w:rsid w:val="00546B6D"/>
    <w:rsid w:val="00555DEF"/>
    <w:rsid w:val="00575F9A"/>
    <w:rsid w:val="00583A96"/>
    <w:rsid w:val="00591389"/>
    <w:rsid w:val="005B7158"/>
    <w:rsid w:val="005D2C2B"/>
    <w:rsid w:val="005F54D0"/>
    <w:rsid w:val="0060180A"/>
    <w:rsid w:val="00606ADE"/>
    <w:rsid w:val="0062060F"/>
    <w:rsid w:val="006349AB"/>
    <w:rsid w:val="006568F8"/>
    <w:rsid w:val="00656FA4"/>
    <w:rsid w:val="00661D4F"/>
    <w:rsid w:val="0066461F"/>
    <w:rsid w:val="00674E9C"/>
    <w:rsid w:val="00685C5C"/>
    <w:rsid w:val="006A1EB6"/>
    <w:rsid w:val="006A3CB6"/>
    <w:rsid w:val="006C7B7D"/>
    <w:rsid w:val="006E3AFD"/>
    <w:rsid w:val="006F2178"/>
    <w:rsid w:val="00701669"/>
    <w:rsid w:val="00710513"/>
    <w:rsid w:val="00713D44"/>
    <w:rsid w:val="007325EA"/>
    <w:rsid w:val="007360AA"/>
    <w:rsid w:val="00747B4F"/>
    <w:rsid w:val="007517FA"/>
    <w:rsid w:val="007731C4"/>
    <w:rsid w:val="007A1006"/>
    <w:rsid w:val="007B5D3B"/>
    <w:rsid w:val="007E2245"/>
    <w:rsid w:val="007E5B4C"/>
    <w:rsid w:val="007F5F6D"/>
    <w:rsid w:val="008113EB"/>
    <w:rsid w:val="008154F5"/>
    <w:rsid w:val="00836C27"/>
    <w:rsid w:val="008464AF"/>
    <w:rsid w:val="00856BEC"/>
    <w:rsid w:val="008804AB"/>
    <w:rsid w:val="00881821"/>
    <w:rsid w:val="0089005A"/>
    <w:rsid w:val="0089299A"/>
    <w:rsid w:val="008A2512"/>
    <w:rsid w:val="008B3213"/>
    <w:rsid w:val="008B55B1"/>
    <w:rsid w:val="008E5426"/>
    <w:rsid w:val="008F4C62"/>
    <w:rsid w:val="009242EE"/>
    <w:rsid w:val="00931C9A"/>
    <w:rsid w:val="0093251F"/>
    <w:rsid w:val="00941F31"/>
    <w:rsid w:val="009513BD"/>
    <w:rsid w:val="00963E9B"/>
    <w:rsid w:val="00967E1D"/>
    <w:rsid w:val="009810B7"/>
    <w:rsid w:val="009C1F4C"/>
    <w:rsid w:val="009C3572"/>
    <w:rsid w:val="009F1024"/>
    <w:rsid w:val="009F1E45"/>
    <w:rsid w:val="009F3424"/>
    <w:rsid w:val="00A022B3"/>
    <w:rsid w:val="00A0371A"/>
    <w:rsid w:val="00A56BBA"/>
    <w:rsid w:val="00A77A3B"/>
    <w:rsid w:val="00A85167"/>
    <w:rsid w:val="00A8566C"/>
    <w:rsid w:val="00A8577A"/>
    <w:rsid w:val="00AA3EEB"/>
    <w:rsid w:val="00AC4E6C"/>
    <w:rsid w:val="00AC6A20"/>
    <w:rsid w:val="00B0092A"/>
    <w:rsid w:val="00B21C5F"/>
    <w:rsid w:val="00B349E5"/>
    <w:rsid w:val="00B36FBA"/>
    <w:rsid w:val="00B5704D"/>
    <w:rsid w:val="00B60303"/>
    <w:rsid w:val="00B73D81"/>
    <w:rsid w:val="00B958C4"/>
    <w:rsid w:val="00B95BCE"/>
    <w:rsid w:val="00B95FEF"/>
    <w:rsid w:val="00B96A05"/>
    <w:rsid w:val="00BA0567"/>
    <w:rsid w:val="00BB11A6"/>
    <w:rsid w:val="00BB14ED"/>
    <w:rsid w:val="00BD5906"/>
    <w:rsid w:val="00BD7224"/>
    <w:rsid w:val="00C0742D"/>
    <w:rsid w:val="00C2185D"/>
    <w:rsid w:val="00C33719"/>
    <w:rsid w:val="00C438FD"/>
    <w:rsid w:val="00C50EEE"/>
    <w:rsid w:val="00C61DE3"/>
    <w:rsid w:val="00C63744"/>
    <w:rsid w:val="00C963AB"/>
    <w:rsid w:val="00CC4736"/>
    <w:rsid w:val="00CC4764"/>
    <w:rsid w:val="00CC506B"/>
    <w:rsid w:val="00CD5893"/>
    <w:rsid w:val="00CE3261"/>
    <w:rsid w:val="00D069B7"/>
    <w:rsid w:val="00D11022"/>
    <w:rsid w:val="00D2318A"/>
    <w:rsid w:val="00D304DE"/>
    <w:rsid w:val="00D4175E"/>
    <w:rsid w:val="00D55F3B"/>
    <w:rsid w:val="00D851D8"/>
    <w:rsid w:val="00D939F8"/>
    <w:rsid w:val="00DA23BD"/>
    <w:rsid w:val="00DB0E5F"/>
    <w:rsid w:val="00DB4D6F"/>
    <w:rsid w:val="00DC5D67"/>
    <w:rsid w:val="00DD7062"/>
    <w:rsid w:val="00DF1601"/>
    <w:rsid w:val="00DF21BB"/>
    <w:rsid w:val="00E24FF8"/>
    <w:rsid w:val="00E42CA5"/>
    <w:rsid w:val="00E50F0A"/>
    <w:rsid w:val="00E53E4E"/>
    <w:rsid w:val="00E5596D"/>
    <w:rsid w:val="00E66087"/>
    <w:rsid w:val="00EA6C4A"/>
    <w:rsid w:val="00EA705D"/>
    <w:rsid w:val="00EB6AF0"/>
    <w:rsid w:val="00ED07A1"/>
    <w:rsid w:val="00EF54BC"/>
    <w:rsid w:val="00F04459"/>
    <w:rsid w:val="00F23D1A"/>
    <w:rsid w:val="00F2611A"/>
    <w:rsid w:val="00F3586F"/>
    <w:rsid w:val="00F47C5F"/>
    <w:rsid w:val="00F500AC"/>
    <w:rsid w:val="00F53DF9"/>
    <w:rsid w:val="00F757D5"/>
    <w:rsid w:val="00F7786A"/>
    <w:rsid w:val="00F96C27"/>
    <w:rsid w:val="00FC2BC2"/>
    <w:rsid w:val="00FD2320"/>
    <w:rsid w:val="00FD4F55"/>
    <w:rsid w:val="00FE71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3BD"/>
    <w:pPr>
      <w:spacing w:after="200" w:line="276" w:lineRule="auto"/>
    </w:pPr>
    <w:rPr>
      <w:lang w:val="nl-N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5227868">
      <w:marLeft w:val="0"/>
      <w:marRight w:val="0"/>
      <w:marTop w:val="100"/>
      <w:marBottom w:val="100"/>
      <w:divBdr>
        <w:top w:val="none" w:sz="0" w:space="0" w:color="auto"/>
        <w:left w:val="none" w:sz="0" w:space="0" w:color="auto"/>
        <w:bottom w:val="none" w:sz="0" w:space="0" w:color="auto"/>
        <w:right w:val="none" w:sz="0" w:space="0" w:color="auto"/>
      </w:divBdr>
      <w:divsChild>
        <w:div w:id="385227870">
          <w:marLeft w:val="0"/>
          <w:marRight w:val="0"/>
          <w:marTop w:val="100"/>
          <w:marBottom w:val="100"/>
          <w:divBdr>
            <w:top w:val="none" w:sz="0" w:space="0" w:color="auto"/>
            <w:left w:val="none" w:sz="0" w:space="0" w:color="auto"/>
            <w:bottom w:val="none" w:sz="0" w:space="0" w:color="auto"/>
            <w:right w:val="none" w:sz="0" w:space="0" w:color="auto"/>
          </w:divBdr>
          <w:divsChild>
            <w:div w:id="385227875">
              <w:marLeft w:val="0"/>
              <w:marRight w:val="0"/>
              <w:marTop w:val="152"/>
              <w:marBottom w:val="0"/>
              <w:divBdr>
                <w:top w:val="single" w:sz="2" w:space="5" w:color="000000"/>
                <w:left w:val="single" w:sz="2" w:space="5" w:color="000000"/>
                <w:bottom w:val="single" w:sz="2" w:space="5" w:color="000000"/>
                <w:right w:val="single" w:sz="2" w:space="5" w:color="000000"/>
              </w:divBdr>
              <w:divsChild>
                <w:div w:id="385227885">
                  <w:marLeft w:val="0"/>
                  <w:marRight w:val="0"/>
                  <w:marTop w:val="0"/>
                  <w:marBottom w:val="0"/>
                  <w:divBdr>
                    <w:top w:val="single" w:sz="2" w:space="0" w:color="CCCCCC"/>
                    <w:left w:val="single" w:sz="2" w:space="0" w:color="CCCCCC"/>
                    <w:bottom w:val="single" w:sz="2" w:space="0" w:color="CCCCCC"/>
                    <w:right w:val="single" w:sz="2" w:space="0" w:color="CCCCCC"/>
                  </w:divBdr>
                  <w:divsChild>
                    <w:div w:id="385227867">
                      <w:marLeft w:val="0"/>
                      <w:marRight w:val="132"/>
                      <w:marTop w:val="0"/>
                      <w:marBottom w:val="0"/>
                      <w:divBdr>
                        <w:top w:val="single" w:sz="2" w:space="0" w:color="CCCCCC"/>
                        <w:left w:val="single" w:sz="2" w:space="0" w:color="CCCCCC"/>
                        <w:bottom w:val="single" w:sz="2" w:space="0" w:color="CCCCCC"/>
                        <w:right w:val="single" w:sz="2" w:space="0" w:color="CCCCCC"/>
                      </w:divBdr>
                      <w:divsChild>
                        <w:div w:id="385227876">
                          <w:marLeft w:val="0"/>
                          <w:marRight w:val="0"/>
                          <w:marTop w:val="0"/>
                          <w:marBottom w:val="0"/>
                          <w:divBdr>
                            <w:top w:val="none" w:sz="0" w:space="0" w:color="auto"/>
                            <w:left w:val="none" w:sz="0" w:space="0" w:color="auto"/>
                            <w:bottom w:val="none" w:sz="0" w:space="0" w:color="auto"/>
                            <w:right w:val="none" w:sz="0" w:space="0" w:color="auto"/>
                          </w:divBdr>
                          <w:divsChild>
                            <w:div w:id="385227881">
                              <w:marLeft w:val="0"/>
                              <w:marRight w:val="0"/>
                              <w:marTop w:val="0"/>
                              <w:marBottom w:val="0"/>
                              <w:divBdr>
                                <w:top w:val="none" w:sz="0" w:space="0" w:color="auto"/>
                                <w:left w:val="none" w:sz="0" w:space="0" w:color="auto"/>
                                <w:bottom w:val="none" w:sz="0" w:space="0" w:color="auto"/>
                                <w:right w:val="none" w:sz="0" w:space="0" w:color="auto"/>
                              </w:divBdr>
                              <w:divsChild>
                                <w:div w:id="385227865">
                                  <w:marLeft w:val="0"/>
                                  <w:marRight w:val="0"/>
                                  <w:marTop w:val="0"/>
                                  <w:marBottom w:val="0"/>
                                  <w:divBdr>
                                    <w:top w:val="none" w:sz="0" w:space="0" w:color="auto"/>
                                    <w:left w:val="none" w:sz="0" w:space="0" w:color="auto"/>
                                    <w:bottom w:val="none" w:sz="0" w:space="0" w:color="auto"/>
                                    <w:right w:val="none" w:sz="0" w:space="0" w:color="auto"/>
                                  </w:divBdr>
                                </w:div>
                                <w:div w:id="385227866">
                                  <w:marLeft w:val="0"/>
                                  <w:marRight w:val="0"/>
                                  <w:marTop w:val="0"/>
                                  <w:marBottom w:val="0"/>
                                  <w:divBdr>
                                    <w:top w:val="none" w:sz="0" w:space="0" w:color="auto"/>
                                    <w:left w:val="none" w:sz="0" w:space="0" w:color="auto"/>
                                    <w:bottom w:val="none" w:sz="0" w:space="0" w:color="auto"/>
                                    <w:right w:val="none" w:sz="0" w:space="0" w:color="auto"/>
                                  </w:divBdr>
                                </w:div>
                                <w:div w:id="385227869">
                                  <w:marLeft w:val="0"/>
                                  <w:marRight w:val="0"/>
                                  <w:marTop w:val="0"/>
                                  <w:marBottom w:val="0"/>
                                  <w:divBdr>
                                    <w:top w:val="none" w:sz="0" w:space="0" w:color="auto"/>
                                    <w:left w:val="none" w:sz="0" w:space="0" w:color="auto"/>
                                    <w:bottom w:val="none" w:sz="0" w:space="0" w:color="auto"/>
                                    <w:right w:val="none" w:sz="0" w:space="0" w:color="auto"/>
                                  </w:divBdr>
                                </w:div>
                                <w:div w:id="385227871">
                                  <w:marLeft w:val="0"/>
                                  <w:marRight w:val="0"/>
                                  <w:marTop w:val="0"/>
                                  <w:marBottom w:val="0"/>
                                  <w:divBdr>
                                    <w:top w:val="none" w:sz="0" w:space="0" w:color="auto"/>
                                    <w:left w:val="none" w:sz="0" w:space="0" w:color="auto"/>
                                    <w:bottom w:val="none" w:sz="0" w:space="0" w:color="auto"/>
                                    <w:right w:val="none" w:sz="0" w:space="0" w:color="auto"/>
                                  </w:divBdr>
                                </w:div>
                                <w:div w:id="385227872">
                                  <w:marLeft w:val="0"/>
                                  <w:marRight w:val="0"/>
                                  <w:marTop w:val="0"/>
                                  <w:marBottom w:val="0"/>
                                  <w:divBdr>
                                    <w:top w:val="none" w:sz="0" w:space="0" w:color="auto"/>
                                    <w:left w:val="none" w:sz="0" w:space="0" w:color="auto"/>
                                    <w:bottom w:val="none" w:sz="0" w:space="0" w:color="auto"/>
                                    <w:right w:val="none" w:sz="0" w:space="0" w:color="auto"/>
                                  </w:divBdr>
                                </w:div>
                                <w:div w:id="385227873">
                                  <w:marLeft w:val="0"/>
                                  <w:marRight w:val="0"/>
                                  <w:marTop w:val="0"/>
                                  <w:marBottom w:val="0"/>
                                  <w:divBdr>
                                    <w:top w:val="none" w:sz="0" w:space="0" w:color="auto"/>
                                    <w:left w:val="none" w:sz="0" w:space="0" w:color="auto"/>
                                    <w:bottom w:val="none" w:sz="0" w:space="0" w:color="auto"/>
                                    <w:right w:val="none" w:sz="0" w:space="0" w:color="auto"/>
                                  </w:divBdr>
                                </w:div>
                                <w:div w:id="385227874">
                                  <w:marLeft w:val="0"/>
                                  <w:marRight w:val="0"/>
                                  <w:marTop w:val="0"/>
                                  <w:marBottom w:val="0"/>
                                  <w:divBdr>
                                    <w:top w:val="none" w:sz="0" w:space="0" w:color="auto"/>
                                    <w:left w:val="none" w:sz="0" w:space="0" w:color="auto"/>
                                    <w:bottom w:val="none" w:sz="0" w:space="0" w:color="auto"/>
                                    <w:right w:val="none" w:sz="0" w:space="0" w:color="auto"/>
                                  </w:divBdr>
                                </w:div>
                                <w:div w:id="385227877">
                                  <w:marLeft w:val="0"/>
                                  <w:marRight w:val="0"/>
                                  <w:marTop w:val="0"/>
                                  <w:marBottom w:val="0"/>
                                  <w:divBdr>
                                    <w:top w:val="none" w:sz="0" w:space="0" w:color="auto"/>
                                    <w:left w:val="none" w:sz="0" w:space="0" w:color="auto"/>
                                    <w:bottom w:val="none" w:sz="0" w:space="0" w:color="auto"/>
                                    <w:right w:val="none" w:sz="0" w:space="0" w:color="auto"/>
                                  </w:divBdr>
                                </w:div>
                                <w:div w:id="385227878">
                                  <w:marLeft w:val="0"/>
                                  <w:marRight w:val="0"/>
                                  <w:marTop w:val="0"/>
                                  <w:marBottom w:val="0"/>
                                  <w:divBdr>
                                    <w:top w:val="none" w:sz="0" w:space="0" w:color="auto"/>
                                    <w:left w:val="none" w:sz="0" w:space="0" w:color="auto"/>
                                    <w:bottom w:val="none" w:sz="0" w:space="0" w:color="auto"/>
                                    <w:right w:val="none" w:sz="0" w:space="0" w:color="auto"/>
                                  </w:divBdr>
                                </w:div>
                                <w:div w:id="385227879">
                                  <w:marLeft w:val="152"/>
                                  <w:marRight w:val="51"/>
                                  <w:marTop w:val="101"/>
                                  <w:marBottom w:val="152"/>
                                  <w:divBdr>
                                    <w:top w:val="single" w:sz="2" w:space="0" w:color="000000"/>
                                    <w:left w:val="single" w:sz="2" w:space="0" w:color="000000"/>
                                    <w:bottom w:val="single" w:sz="2" w:space="0" w:color="000000"/>
                                    <w:right w:val="single" w:sz="2" w:space="0" w:color="000000"/>
                                  </w:divBdr>
                                </w:div>
                                <w:div w:id="385227880">
                                  <w:marLeft w:val="0"/>
                                  <w:marRight w:val="0"/>
                                  <w:marTop w:val="0"/>
                                  <w:marBottom w:val="0"/>
                                  <w:divBdr>
                                    <w:top w:val="none" w:sz="0" w:space="0" w:color="auto"/>
                                    <w:left w:val="none" w:sz="0" w:space="0" w:color="auto"/>
                                    <w:bottom w:val="none" w:sz="0" w:space="0" w:color="auto"/>
                                    <w:right w:val="none" w:sz="0" w:space="0" w:color="auto"/>
                                  </w:divBdr>
                                </w:div>
                                <w:div w:id="385227882">
                                  <w:marLeft w:val="0"/>
                                  <w:marRight w:val="0"/>
                                  <w:marTop w:val="0"/>
                                  <w:marBottom w:val="0"/>
                                  <w:divBdr>
                                    <w:top w:val="none" w:sz="0" w:space="0" w:color="auto"/>
                                    <w:left w:val="none" w:sz="0" w:space="0" w:color="auto"/>
                                    <w:bottom w:val="none" w:sz="0" w:space="0" w:color="auto"/>
                                    <w:right w:val="none" w:sz="0" w:space="0" w:color="auto"/>
                                  </w:divBdr>
                                </w:div>
                                <w:div w:id="385227883">
                                  <w:marLeft w:val="0"/>
                                  <w:marRight w:val="0"/>
                                  <w:marTop w:val="0"/>
                                  <w:marBottom w:val="0"/>
                                  <w:divBdr>
                                    <w:top w:val="none" w:sz="0" w:space="0" w:color="auto"/>
                                    <w:left w:val="none" w:sz="0" w:space="0" w:color="auto"/>
                                    <w:bottom w:val="none" w:sz="0" w:space="0" w:color="auto"/>
                                    <w:right w:val="none" w:sz="0" w:space="0" w:color="auto"/>
                                  </w:divBdr>
                                </w:div>
                                <w:div w:id="385227884">
                                  <w:marLeft w:val="0"/>
                                  <w:marRight w:val="0"/>
                                  <w:marTop w:val="0"/>
                                  <w:marBottom w:val="0"/>
                                  <w:divBdr>
                                    <w:top w:val="none" w:sz="0" w:space="0" w:color="auto"/>
                                    <w:left w:val="none" w:sz="0" w:space="0" w:color="auto"/>
                                    <w:bottom w:val="none" w:sz="0" w:space="0" w:color="auto"/>
                                    <w:right w:val="none" w:sz="0" w:space="0" w:color="auto"/>
                                  </w:divBdr>
                                </w:div>
                                <w:div w:id="385227886">
                                  <w:marLeft w:val="-406"/>
                                  <w:marRight w:val="0"/>
                                  <w:marTop w:val="0"/>
                                  <w:marBottom w:val="0"/>
                                  <w:divBdr>
                                    <w:top w:val="none" w:sz="0" w:space="0" w:color="auto"/>
                                    <w:left w:val="none" w:sz="0" w:space="0" w:color="auto"/>
                                    <w:bottom w:val="none" w:sz="0" w:space="0" w:color="auto"/>
                                    <w:right w:val="none" w:sz="0" w:space="0" w:color="auto"/>
                                  </w:divBdr>
                                </w:div>
                                <w:div w:id="385227887">
                                  <w:marLeft w:val="0"/>
                                  <w:marRight w:val="0"/>
                                  <w:marTop w:val="0"/>
                                  <w:marBottom w:val="0"/>
                                  <w:divBdr>
                                    <w:top w:val="none" w:sz="0" w:space="0" w:color="auto"/>
                                    <w:left w:val="none" w:sz="0" w:space="0" w:color="auto"/>
                                    <w:bottom w:val="none" w:sz="0" w:space="0" w:color="auto"/>
                                    <w:right w:val="none" w:sz="0" w:space="0" w:color="auto"/>
                                  </w:divBdr>
                                </w:div>
                                <w:div w:id="3852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3</Pages>
  <Words>1793</Words>
  <Characters>9453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November 2013, Politieke concensus over verkiezingen maakt of breekt voortgang Nepalees vredesproces</dc:title>
  <dc:subject/>
  <dc:creator>Arno Driessen</dc:creator>
  <cp:keywords/>
  <dc:description/>
  <cp:lastModifiedBy>Peace Brigades International</cp:lastModifiedBy>
  <cp:revision>2</cp:revision>
  <dcterms:created xsi:type="dcterms:W3CDTF">2013-07-11T16:12:00Z</dcterms:created>
  <dcterms:modified xsi:type="dcterms:W3CDTF">2013-07-11T16:12:00Z</dcterms:modified>
</cp:coreProperties>
</file>